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049</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49</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（二）地块位置：惠州市惠城区水口民营工业园JD-131-12-02地块；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（三）地块编号：JD-131-12-02；</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（四）地块范围：</w:t>
      </w:r>
      <w:r>
        <w:rPr>
          <w:rFonts w:hint="eastAsia" w:ascii="仿宋_GB2312" w:hAnsi="仿宋_GB2312" w:eastAsia="仿宋_GB2312" w:cs="仿宋_GB2312"/>
          <w:sz w:val="32"/>
          <w:szCs w:val="32"/>
          <w:highlight w:val="none"/>
          <w:shd w:val="clear" w:color="auto" w:fill="auto"/>
        </w:rPr>
        <w:t>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10046号</w:t>
      </w:r>
      <w:r>
        <w:rPr>
          <w:rFonts w:hint="eastAsia" w:ascii="仿宋_GB2312" w:hAnsi="仿宋_GB2312" w:eastAsia="仿宋_GB2312" w:cs="仿宋_GB2312"/>
          <w:sz w:val="32"/>
          <w:szCs w:val="32"/>
          <w:highlight w:val="none"/>
          <w:shd w:val="clear" w:color="auto" w:fill="auto"/>
        </w:rPr>
        <w:t>）规定为准</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（五）宗地使用权面积为：27635.85平方米；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（六）计算指标用地面积为：28721平方米；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（七）计容积率建筑面积：71803-100523平方米；</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w:t>
      </w:r>
      <w:r>
        <w:rPr>
          <w:rFonts w:hint="default" w:ascii="仿宋_GB2312" w:hAnsi="仿宋_GB2312" w:eastAsia="仿宋_GB2312" w:cs="仿宋_GB2312"/>
          <w:sz w:val="32"/>
          <w:szCs w:val="32"/>
          <w:highlight w:val="none"/>
          <w:shd w:val="clear" w:color="auto" w:fill="auto"/>
          <w:lang w:val="en-US" w:eastAsia="zh-CN"/>
        </w:rPr>
        <w:t>2.5</w:t>
      </w:r>
      <w:r>
        <w:rPr>
          <w:rFonts w:hint="eastAsia"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lang w:eastAsia="zh-CN"/>
        </w:rPr>
        <w:t>3.</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（九）土地用途为：</w:t>
      </w:r>
      <w:r>
        <w:rPr>
          <w:rFonts w:hint="eastAsia" w:ascii="仿宋_GB2312" w:hAnsi="仿宋_GB2312" w:eastAsia="仿宋_GB2312" w:cs="仿宋_GB2312"/>
          <w:sz w:val="32"/>
          <w:szCs w:val="32"/>
          <w:highlight w:val="none"/>
          <w:shd w:val="clear" w:color="auto" w:fill="auto"/>
          <w:lang w:eastAsia="zh-CN"/>
        </w:rPr>
        <w:t>一类工业用地</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（十一）产业类型：专业产业园运营、科技推广和应用服务业用地；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 动工及竣工时间：</w:t>
      </w:r>
      <w:r>
        <w:rPr>
          <w:rFonts w:hint="eastAsia" w:ascii="仿宋_GB2312" w:hAnsi="仿宋_GB2312" w:eastAsia="仿宋_GB2312" w:cs="仿宋_GB2312"/>
          <w:sz w:val="32"/>
          <w:szCs w:val="32"/>
          <w:highlight w:val="none"/>
          <w:shd w:val="clear" w:color="auto" w:fill="auto"/>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（十三）本地块交付时间为《国有土地使用权出让合同》签订之日。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宋体" w:eastAsia="仿宋_GB2312" w:cs="宋体"/>
          <w:color w:val="auto"/>
          <w:kern w:val="0"/>
          <w:sz w:val="32"/>
          <w:szCs w:val="32"/>
          <w:lang w:val="en-US" w:eastAsia="zh-CN"/>
        </w:rPr>
        <w:t>45236</w:t>
      </w:r>
      <w:r>
        <w:rPr>
          <w:rFonts w:hint="eastAsia" w:ascii="仿宋_GB2312" w:hAnsi="仿宋_GB2312" w:eastAsia="仿宋_GB2312" w:cs="仿宋_GB2312"/>
          <w:sz w:val="32"/>
          <w:szCs w:val="32"/>
          <w:highlight w:val="none"/>
          <w:shd w:val="clear" w:color="auto" w:fill="auto"/>
          <w:lang w:val="en-US" w:eastAsia="zh-CN"/>
        </w:rPr>
        <w:t>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（三）</w:t>
      </w:r>
      <w:r>
        <w:rPr>
          <w:rFonts w:hint="eastAsia" w:eastAsia="仿宋_GB2312" w:cs="Times New Roman"/>
          <w:sz w:val="32"/>
          <w:szCs w:val="32"/>
          <w:highlight w:val="none"/>
          <w:shd w:val="clear" w:color="auto" w:fill="auto"/>
          <w:lang w:val="en-US" w:eastAsia="zh-CN"/>
        </w:rPr>
        <w:t>竞得人在用地红线内开发建设必须符合城市规划要求，必须按《建设用地规划设计条件》（案卷编号：</w:t>
      </w:r>
      <w:r>
        <w:rPr>
          <w:rFonts w:hint="eastAsia" w:eastAsia="仿宋_GB2312" w:cs="Times New Roman"/>
          <w:sz w:val="32"/>
          <w:szCs w:val="32"/>
          <w:highlight w:val="none"/>
          <w:shd w:val="clear" w:color="auto" w:fill="auto"/>
        </w:rPr>
        <w:t>PB202</w:t>
      </w:r>
      <w:r>
        <w:rPr>
          <w:rFonts w:hint="eastAsia" w:eastAsia="仿宋_GB2312" w:cs="Times New Roman"/>
          <w:sz w:val="32"/>
          <w:szCs w:val="32"/>
          <w:highlight w:val="none"/>
          <w:shd w:val="clear" w:color="auto" w:fill="auto"/>
          <w:lang w:val="en-US" w:eastAsia="zh-CN"/>
        </w:rPr>
        <w:t>10046）的规划控制指标要求及有关规定进行规划设计</w:t>
      </w:r>
      <w:r>
        <w:rPr>
          <w:rFonts w:hint="eastAsia" w:eastAsia="仿宋_GB2312" w:cs="Times New Roman"/>
          <w:sz w:val="32"/>
          <w:szCs w:val="32"/>
          <w:highlight w:val="none"/>
          <w:shd w:val="clear" w:color="auto" w:fill="auto"/>
          <w:lang w:eastAsia="zh-CN"/>
        </w:rPr>
        <w:t>。</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（四）项目规划建设方案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1、所报总平面图的主要技术经济指标</w:t>
      </w:r>
      <w:r>
        <w:rPr>
          <w:rFonts w:hint="eastAsia" w:ascii="仿宋_GB2312" w:hAnsi="宋体" w:eastAsia="仿宋_GB2312" w:cs="宋体"/>
          <w:color w:val="auto"/>
          <w:kern w:val="0"/>
          <w:sz w:val="32"/>
          <w:szCs w:val="32"/>
        </w:rPr>
        <w:t>：规划布局为3栋地上11层的厂房、1栋地上16层配套服务楼，计算指标用地面积28721平方米（其中生活服务设施建筑面积占比13.7%），计容积率建筑面积100523.5平方米，容积率3.5，建筑密度37%（其中生活服务设施基底面积占用地面积比4.6%），绿地率20%，机动车停车位397个（其中地下313个），非机动车停车位572个。所报方案技术指标符合《规划设计条件告知书》（PB202</w:t>
      </w: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0</w:t>
      </w:r>
      <w:r>
        <w:rPr>
          <w:rFonts w:hint="default" w:ascii="仿宋_GB2312" w:hAnsi="宋体" w:eastAsia="仿宋_GB2312" w:cs="宋体"/>
          <w:color w:val="auto"/>
          <w:kern w:val="0"/>
          <w:sz w:val="32"/>
          <w:szCs w:val="32"/>
          <w:lang w:val="en-US"/>
        </w:rPr>
        <w:t>046</w:t>
      </w:r>
      <w:r>
        <w:rPr>
          <w:rFonts w:hint="eastAsia" w:ascii="仿宋_GB2312" w:hAnsi="宋体" w:eastAsia="仿宋_GB2312" w:cs="宋体"/>
          <w:color w:val="auto"/>
          <w:kern w:val="0"/>
          <w:sz w:val="32"/>
          <w:szCs w:val="32"/>
        </w:rPr>
        <w:t>）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（五）招商条件</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投资强度不低于15750元/平方米，土地产出率（营业收入）不低于21250元/平方米/年，税收产出不低于1425元/平方米/年。其中，土地产出率及税收产出，在项目投产后3年内逐年考核，3年内的平均值不得低于上述标准。</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高新科技产业园管理委员会提交项目投资计划书和时间安排表，并按月向惠州市惠城区高新科技产业园管理委员会书面报告项目进展情况，直至项目投产。</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中华人民共和国境内外的法人和其他组织（除法律法规另有规定外），均可申请参加竞买。申请人可以单独申请，也可以联合申请。申请人还应具备下列条件：</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w:t>
      </w:r>
      <w:r>
        <w:rPr>
          <w:rFonts w:hint="eastAsia" w:eastAsia="仿宋_GB2312" w:cs="Times New Roman"/>
          <w:sz w:val="32"/>
          <w:szCs w:val="32"/>
          <w:highlight w:val="none"/>
          <w:shd w:val="clear" w:color="auto" w:fill="auto"/>
          <w:lang w:val="en-US" w:eastAsia="zh-CN"/>
        </w:rPr>
        <w:t>一</w:t>
      </w:r>
      <w:r>
        <w:rPr>
          <w:rFonts w:hint="eastAsia" w:eastAsia="仿宋_GB2312" w:cs="Times New Roman"/>
          <w:sz w:val="32"/>
          <w:szCs w:val="32"/>
          <w:highlight w:val="none"/>
          <w:shd w:val="clear" w:color="auto" w:fill="auto"/>
          <w:lang w:eastAsia="zh-CN"/>
        </w:rPr>
        <w:t>）按时足额交纳竞买保证金，竞买人缴交的竞买保证金为人民币</w:t>
      </w:r>
      <w:r>
        <w:rPr>
          <w:rFonts w:hint="eastAsia" w:eastAsia="仿宋_GB2312" w:cs="Times New Roman"/>
          <w:sz w:val="32"/>
          <w:szCs w:val="32"/>
          <w:highlight w:val="none"/>
          <w:shd w:val="clear" w:color="auto" w:fill="auto"/>
          <w:lang w:val="en-US" w:eastAsia="zh-CN"/>
        </w:rPr>
        <w:t>858</w:t>
      </w:r>
      <w:r>
        <w:rPr>
          <w:rFonts w:hint="eastAsia" w:eastAsia="仿宋_GB2312" w:cs="Times New Roman"/>
          <w:sz w:val="32"/>
          <w:szCs w:val="32"/>
          <w:highlight w:val="none"/>
          <w:shd w:val="clear" w:color="auto" w:fill="auto"/>
          <w:lang w:eastAsia="zh-CN"/>
        </w:rPr>
        <w:t>万元。</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val="en-US" w:eastAsia="zh-CN"/>
        </w:rPr>
        <w:t>（二）竞买人须提交惠城区发改局出具的与该宗地块产业类型一致的优先发展产业项目文件。</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w:t>
      </w:r>
      <w:r>
        <w:rPr>
          <w:rFonts w:hint="eastAsia" w:eastAsia="仿宋_GB2312" w:cs="Times New Roman"/>
          <w:sz w:val="32"/>
          <w:szCs w:val="32"/>
          <w:highlight w:val="none"/>
          <w:shd w:val="clear" w:color="auto" w:fill="auto"/>
          <w:lang w:val="en-US" w:eastAsia="zh-CN"/>
        </w:rPr>
        <w:t>三</w:t>
      </w:r>
      <w:r>
        <w:rPr>
          <w:rFonts w:hint="eastAsia" w:eastAsia="仿宋_GB2312" w:cs="Times New Roman"/>
          <w:sz w:val="32"/>
          <w:szCs w:val="32"/>
          <w:highlight w:val="none"/>
          <w:shd w:val="clear" w:color="auto" w:fill="auto"/>
          <w:lang w:eastAsia="zh-CN"/>
        </w:rPr>
        <w:t>）预先办理数字证书。本次国有建设用地使用权网上挂牌出让只能在互联网上，通过惠州市公共资源交易中心土地与矿业网上挂牌交易系统（</w:t>
      </w:r>
      <w:r>
        <w:rPr>
          <w:rFonts w:hint="eastAsia" w:eastAsia="仿宋_GB2312" w:cs="Times New Roman"/>
          <w:sz w:val="32"/>
          <w:szCs w:val="32"/>
          <w:highlight w:val="none"/>
          <w:shd w:val="clear" w:color="auto" w:fill="auto"/>
          <w:lang w:val="en-US" w:eastAsia="zh-CN"/>
        </w:rPr>
        <w:t>https://www.hzgtjy.com/</w:t>
      </w:r>
      <w:r>
        <w:rPr>
          <w:rFonts w:hint="eastAsia" w:eastAsia="仿宋_GB2312" w:cs="Times New Roman"/>
          <w:sz w:val="32"/>
          <w:szCs w:val="32"/>
          <w:highlight w:val="none"/>
          <w:shd w:val="clear" w:color="auto" w:fill="auto"/>
          <w:lang w:eastAsia="zh-CN"/>
        </w:rPr>
        <w:t>，以下简称“网上挂牌交易系统”）进行。只有通过网上注册、办理数字证书、按要求足额交付竞买保证金的申请人，才能参加网上挂牌交易活动。</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w:t>
      </w:r>
      <w:r>
        <w:rPr>
          <w:rFonts w:hint="eastAsia" w:eastAsia="仿宋_GB2312" w:cs="Times New Roman"/>
          <w:sz w:val="32"/>
          <w:szCs w:val="32"/>
          <w:highlight w:val="none"/>
          <w:shd w:val="clear" w:color="auto" w:fill="auto"/>
          <w:lang w:val="en-US" w:eastAsia="zh-CN"/>
        </w:rPr>
        <w:t>四</w:t>
      </w:r>
      <w:r>
        <w:rPr>
          <w:rFonts w:hint="eastAsia" w:eastAsia="仿宋_GB2312" w:cs="Times New Roman"/>
          <w:sz w:val="32"/>
          <w:szCs w:val="32"/>
          <w:highlight w:val="none"/>
          <w:shd w:val="clear" w:color="auto" w:fill="auto"/>
          <w:lang w:eastAsia="zh-CN"/>
        </w:rPr>
        <w:t>）存在下列违法违规违约行为之一的企业及其控股股东，不得参与竞买上述地块：</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1、存在伪造公文骗取用地和非法倒卖土地等犯罪行为的；</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2、存在非法转让土地使用权等违法行为的；</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3、因企业原因造成土地闲置一年以上且至报名日止未处罚完结的；</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4、开发建设企业有违背出让合同约定条件开发利用土地情形且至报名日止未处罚完结的；</w:t>
      </w:r>
    </w:p>
    <w:p>
      <w:pPr>
        <w:shd w:val="clear"/>
        <w:spacing w:line="560" w:lineRule="exact"/>
        <w:ind w:firstLine="640" w:firstLineChars="200"/>
        <w:rPr>
          <w:rFonts w:hint="eastAsia" w:eastAsia="仿宋_GB2312" w:cs="Times New Roman"/>
          <w:sz w:val="32"/>
          <w:szCs w:val="32"/>
          <w:highlight w:val="none"/>
          <w:shd w:val="clear" w:color="auto" w:fill="auto"/>
          <w:lang w:val="en-US" w:eastAsia="zh-CN"/>
        </w:rPr>
      </w:pPr>
      <w:r>
        <w:rPr>
          <w:rFonts w:hint="eastAsia" w:eastAsia="仿宋_GB2312" w:cs="Times New Roman"/>
          <w:sz w:val="32"/>
          <w:szCs w:val="32"/>
          <w:highlight w:val="none"/>
          <w:shd w:val="clear" w:color="auto" w:fill="auto"/>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 xml:space="preserve">   </w:t>
      </w:r>
      <w:r>
        <w:rPr>
          <w:rFonts w:hint="eastAsia" w:eastAsia="仿宋_GB2312" w:cs="Times New Roman"/>
          <w:sz w:val="32"/>
          <w:szCs w:val="32"/>
          <w:highlight w:val="none"/>
          <w:shd w:val="clear" w:color="auto" w:fill="auto"/>
          <w:lang w:eastAsia="zh-CN"/>
        </w:rPr>
        <w:t>竞得人有下列行为之一的，视为违约，取消竞得人资格，</w:t>
      </w:r>
      <w:r>
        <w:rPr>
          <w:rFonts w:hint="eastAsia" w:eastAsia="仿宋_GB2312" w:cs="Times New Roman"/>
          <w:sz w:val="32"/>
          <w:szCs w:val="32"/>
          <w:highlight w:val="none"/>
          <w:shd w:val="clear" w:color="auto" w:fill="auto"/>
          <w:lang w:val="en-US" w:eastAsia="zh-CN"/>
        </w:rPr>
        <w:t>定金不予退还,</w:t>
      </w:r>
      <w:r>
        <w:rPr>
          <w:rFonts w:hint="eastAsia" w:eastAsia="仿宋_GB2312" w:cs="Times New Roman"/>
          <w:sz w:val="32"/>
          <w:szCs w:val="32"/>
          <w:highlight w:val="none"/>
          <w:shd w:val="clear" w:color="auto" w:fill="auto"/>
          <w:lang w:eastAsia="zh-CN"/>
        </w:rPr>
        <w:t>并由有关部门依法处理;造成损失的，竞得人还应依法承担赔偿责任：</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（一）不符合竞买资格条件的。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（二）采取行贿、恶意串通等非法手段竞得的。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（三）竞得人以其他非法手段竞得的。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（四）竞得人逾期或拒绝签订《成交确认书》的。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（五）竞得人逾期或拒绝签订《出让合同》的。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（六）不按本须知规定提供有关纸质文件材料，或提供虚假文件材料、隐瞒重要事实，引起交易纠纷的。</w:t>
      </w:r>
    </w:p>
    <w:p>
      <w:pPr>
        <w:shd w:val="clear"/>
        <w:spacing w:line="560" w:lineRule="exact"/>
        <w:ind w:firstLine="640" w:firstLineChars="200"/>
        <w:rPr>
          <w:rFonts w:hint="eastAsia" w:eastAsia="仿宋_GB2312" w:cs="Times New Roman"/>
          <w:sz w:val="32"/>
          <w:szCs w:val="32"/>
          <w:highlight w:val="none"/>
          <w:shd w:val="clear" w:color="auto" w:fill="auto"/>
          <w:lang w:eastAsia="zh-CN"/>
        </w:rPr>
      </w:pPr>
      <w:r>
        <w:rPr>
          <w:rFonts w:hint="eastAsia" w:eastAsia="仿宋_GB2312" w:cs="Times New Roman"/>
          <w:sz w:val="32"/>
          <w:szCs w:val="32"/>
          <w:highlight w:val="none"/>
          <w:shd w:val="clear" w:color="auto" w:fill="auto"/>
          <w:lang w:eastAsia="zh-CN"/>
        </w:rPr>
        <w:t>（七）构成违约责任的其他行为。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贰仟捌佰陆拾万元整</w:t>
      </w:r>
      <w:r>
        <w:rPr>
          <w:rFonts w:hint="eastAsia" w:ascii="仿宋_GB2312" w:hAnsi="仿宋_GB2312" w:eastAsia="仿宋_GB2312" w:cs="仿宋_GB2312"/>
          <w:color w:val="auto"/>
          <w:sz w:val="32"/>
          <w:szCs w:val="32"/>
          <w:highlight w:val="none"/>
          <w:u w:val="none"/>
          <w:shd w:val="clear" w:color="auto" w:fill="auto"/>
          <w:lang w:val="en-US" w:eastAsia="zh-CN"/>
        </w:rPr>
        <w:t>（大写）（￥</w:t>
      </w:r>
      <w:r>
        <w:rPr>
          <w:rFonts w:hint="eastAsia" w:ascii="仿宋_GB2312" w:hAnsi="仿宋" w:eastAsia="仿宋_GB2312"/>
          <w:sz w:val="32"/>
          <w:szCs w:val="32"/>
          <w:u w:val="single"/>
          <w:lang w:val="en-US" w:eastAsia="zh-CN"/>
        </w:rPr>
        <w:t>2860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u w:val="none"/>
          <w:shd w:val="clear" w:color="auto" w:fill="auto"/>
          <w:lang w:eastAsia="zh-CN"/>
        </w:rPr>
        <w:t>）</w:t>
      </w:r>
      <w:r>
        <w:rPr>
          <w:rFonts w:hint="eastAsia" w:ascii="仿宋_GB2312" w:hAnsi="仿宋_GB2312" w:eastAsia="仿宋_GB2312" w:cs="仿宋_GB2312"/>
          <w:color w:val="auto"/>
          <w:sz w:val="32"/>
          <w:szCs w:val="32"/>
          <w:highlight w:val="none"/>
          <w:u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伍拾万元整</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color w:val="auto"/>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29</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PB20210046号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12</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13</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捌佰伍拾捌万元整</w:t>
      </w:r>
      <w:r>
        <w:rPr>
          <w:rFonts w:hint="eastAsia" w:ascii="仿宋_GB2312" w:hAnsi="仿宋_GB2312" w:eastAsia="仿宋_GB2312" w:cs="仿宋_GB2312"/>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val="en-US" w:eastAsia="zh-CN"/>
        </w:rPr>
        <w:t>8</w:t>
      </w:r>
      <w:r>
        <w:rPr>
          <w:rFonts w:hint="eastAsia" w:ascii="仿宋_GB2312" w:hAnsi="仿宋_GB2312" w:eastAsia="仿宋_GB2312" w:cs="仿宋_GB2312"/>
          <w:color w:val="auto"/>
          <w:sz w:val="32"/>
          <w:szCs w:val="32"/>
          <w:highlight w:val="none"/>
          <w:shd w:val="clear" w:color="auto" w:fill="auto"/>
          <w:lang w:val="en-US" w:eastAsia="zh-CN"/>
        </w:rPr>
        <w:t>58</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color w:val="auto"/>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w:t>
      </w:r>
      <w:r>
        <w:rPr>
          <w:rFonts w:hint="eastAsia" w:ascii="仿宋_GB2312" w:hAnsi="仿宋_GB2312" w:eastAsia="仿宋_GB2312" w:cs="仿宋_GB2312"/>
          <w:sz w:val="32"/>
          <w:szCs w:val="32"/>
          <w:highlight w:val="none"/>
          <w:shd w:val="clear" w:color="auto" w:fill="auto"/>
          <w:lang w:val="en-US" w:eastAsia="zh-CN"/>
        </w:rPr>
        <w:t xml:space="preserve"> </w:t>
      </w:r>
      <w:bookmarkStart w:id="8" w:name="_GoBack"/>
      <w:bookmarkEnd w:id="8"/>
      <w:r>
        <w:rPr>
          <w:rFonts w:hint="eastAsia" w:ascii="仿宋_GB2312" w:hAnsi="仿宋_GB2312" w:eastAsia="仿宋_GB2312" w:cs="仿宋_GB2312"/>
          <w:sz w:val="32"/>
          <w:szCs w:val="32"/>
          <w:highlight w:val="none"/>
          <w:shd w:val="clear" w:color="auto" w:fill="auto"/>
        </w:rPr>
        <w:t>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即新公司的股东必须100%是竞买申请企业作为法人的股东</w:t>
      </w:r>
      <w:r>
        <w:rPr>
          <w:rFonts w:hint="default" w:ascii="仿宋_GB2312" w:hAnsi="仿宋_GB2312" w:eastAsia="仿宋_GB2312" w:cs="仿宋_GB2312"/>
          <w:sz w:val="32"/>
          <w:szCs w:val="32"/>
          <w:highlight w:val="none"/>
          <w:shd w:val="clear" w:color="auto" w:fill="auto"/>
          <w:lang w:val="en-US" w:eastAsia="zh-CN"/>
        </w:rPr>
        <w:t>。</w:t>
      </w:r>
      <w:r>
        <w:rPr>
          <w:rFonts w:hint="eastAsia" w:ascii="仿宋_GB2312" w:hAnsi="仿宋_GB2312" w:eastAsia="仿宋_GB2312" w:cs="仿宋_GB2312"/>
          <w:sz w:val="32"/>
          <w:szCs w:val="32"/>
          <w:highlight w:val="none"/>
          <w:shd w:val="clear" w:color="auto" w:fill="auto"/>
        </w:rPr>
        <w:t>根据挂牌出让结果，可先与竞得人签订《出让合同》，在竞得人按约定办理完新公司注册登记手续后，再与新公司签订《国有建设用地使用权出让合同变更协议》；也可按约定直接与新公司签订《出让合同》。</w:t>
      </w:r>
    </w:p>
    <w:p>
      <w:pPr>
        <w:shd w:val="clear"/>
        <w:tabs>
          <w:tab w:val="left" w:pos="3388"/>
        </w:tabs>
        <w:spacing w:line="560" w:lineRule="exact"/>
        <w:ind w:firstLine="640"/>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kern w:val="2"/>
          <w:sz w:val="32"/>
          <w:szCs w:val="32"/>
          <w:highlight w:val="none"/>
          <w:shd w:val="clear" w:color="auto" w:fill="auto"/>
          <w:lang w:val="en-US" w:eastAsia="zh-CN" w:bidi="ar-SA"/>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 xml:space="preserve">   （五）确定竞得人后，竞得</w:t>
      </w:r>
      <w:r>
        <w:rPr>
          <w:rFonts w:hint="eastAsia" w:ascii="仿宋_GB2312" w:hAnsi="仿宋_GB2312" w:eastAsia="仿宋_GB2312" w:cs="仿宋_GB2312"/>
          <w:sz w:val="32"/>
          <w:szCs w:val="32"/>
          <w:highlight w:val="none"/>
          <w:shd w:val="clear" w:color="auto" w:fill="auto"/>
        </w:rPr>
        <w:t>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2021年11月8日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22333"/>
    <w:rsid w:val="077D5D24"/>
    <w:rsid w:val="07F629A0"/>
    <w:rsid w:val="08273751"/>
    <w:rsid w:val="091E26EA"/>
    <w:rsid w:val="09317644"/>
    <w:rsid w:val="095A2161"/>
    <w:rsid w:val="09DF4A83"/>
    <w:rsid w:val="09E224E2"/>
    <w:rsid w:val="0A812477"/>
    <w:rsid w:val="0ACC066B"/>
    <w:rsid w:val="0B1406EF"/>
    <w:rsid w:val="0C40433F"/>
    <w:rsid w:val="0C8642BF"/>
    <w:rsid w:val="0C9B2169"/>
    <w:rsid w:val="0DCB3B54"/>
    <w:rsid w:val="0FB217AF"/>
    <w:rsid w:val="0FB2799E"/>
    <w:rsid w:val="10152918"/>
    <w:rsid w:val="105A2768"/>
    <w:rsid w:val="10A1573B"/>
    <w:rsid w:val="10B43BC1"/>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DC01FC"/>
    <w:rsid w:val="23141DA3"/>
    <w:rsid w:val="233A2E67"/>
    <w:rsid w:val="247C6354"/>
    <w:rsid w:val="256A5D13"/>
    <w:rsid w:val="259D34B7"/>
    <w:rsid w:val="25D63F7C"/>
    <w:rsid w:val="26391FD0"/>
    <w:rsid w:val="26741665"/>
    <w:rsid w:val="270B4267"/>
    <w:rsid w:val="272C05B0"/>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944F64"/>
    <w:rsid w:val="2FA2409E"/>
    <w:rsid w:val="302645FE"/>
    <w:rsid w:val="30884005"/>
    <w:rsid w:val="30AC5587"/>
    <w:rsid w:val="30DB33EE"/>
    <w:rsid w:val="313D23E2"/>
    <w:rsid w:val="31880862"/>
    <w:rsid w:val="31B60A9D"/>
    <w:rsid w:val="324E22EE"/>
    <w:rsid w:val="33A33367"/>
    <w:rsid w:val="33CE0AAA"/>
    <w:rsid w:val="34B40523"/>
    <w:rsid w:val="34C41D04"/>
    <w:rsid w:val="34CD617E"/>
    <w:rsid w:val="360B04FE"/>
    <w:rsid w:val="362358A8"/>
    <w:rsid w:val="378C6660"/>
    <w:rsid w:val="37FB7A76"/>
    <w:rsid w:val="38DE5E51"/>
    <w:rsid w:val="390E539D"/>
    <w:rsid w:val="3A0C3092"/>
    <w:rsid w:val="3A6628A9"/>
    <w:rsid w:val="3C4A4143"/>
    <w:rsid w:val="3C5E598F"/>
    <w:rsid w:val="3C8F0E4F"/>
    <w:rsid w:val="3CAD2EC5"/>
    <w:rsid w:val="3CB0200F"/>
    <w:rsid w:val="3CB81CC8"/>
    <w:rsid w:val="3D322E34"/>
    <w:rsid w:val="3D34683B"/>
    <w:rsid w:val="3D5E1016"/>
    <w:rsid w:val="3DAA2FBD"/>
    <w:rsid w:val="3E6E707C"/>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EEB2184"/>
    <w:rsid w:val="4F1E4BBE"/>
    <w:rsid w:val="4F3537ED"/>
    <w:rsid w:val="4F954D5E"/>
    <w:rsid w:val="4FFE1B2F"/>
    <w:rsid w:val="50E13A94"/>
    <w:rsid w:val="51467837"/>
    <w:rsid w:val="52132F5D"/>
    <w:rsid w:val="528F1625"/>
    <w:rsid w:val="52AA5DFE"/>
    <w:rsid w:val="530D63A2"/>
    <w:rsid w:val="533F6C66"/>
    <w:rsid w:val="544F17E9"/>
    <w:rsid w:val="545B45A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625425"/>
    <w:rsid w:val="5C943765"/>
    <w:rsid w:val="5D006096"/>
    <w:rsid w:val="5D731ABE"/>
    <w:rsid w:val="5DB15592"/>
    <w:rsid w:val="5DF81F1B"/>
    <w:rsid w:val="5DFB50B1"/>
    <w:rsid w:val="5E2E0948"/>
    <w:rsid w:val="600D408B"/>
    <w:rsid w:val="610A5EBF"/>
    <w:rsid w:val="61245A3C"/>
    <w:rsid w:val="6178185B"/>
    <w:rsid w:val="617F00E3"/>
    <w:rsid w:val="61C04C47"/>
    <w:rsid w:val="61C170AA"/>
    <w:rsid w:val="624D400D"/>
    <w:rsid w:val="626D5569"/>
    <w:rsid w:val="62D03E81"/>
    <w:rsid w:val="62D41879"/>
    <w:rsid w:val="6398078D"/>
    <w:rsid w:val="641A28B3"/>
    <w:rsid w:val="648A18F5"/>
    <w:rsid w:val="64C30585"/>
    <w:rsid w:val="64EC219C"/>
    <w:rsid w:val="651C53A6"/>
    <w:rsid w:val="656B5E9D"/>
    <w:rsid w:val="659D6FA9"/>
    <w:rsid w:val="65F2007E"/>
    <w:rsid w:val="665853F0"/>
    <w:rsid w:val="66C13377"/>
    <w:rsid w:val="67927D39"/>
    <w:rsid w:val="68085778"/>
    <w:rsid w:val="688B43B5"/>
    <w:rsid w:val="68EE1292"/>
    <w:rsid w:val="69B07B1E"/>
    <w:rsid w:val="69E22ED5"/>
    <w:rsid w:val="6A15326A"/>
    <w:rsid w:val="6AA821A5"/>
    <w:rsid w:val="6B8A6BF3"/>
    <w:rsid w:val="6BFA1460"/>
    <w:rsid w:val="6C013F77"/>
    <w:rsid w:val="6C181FB4"/>
    <w:rsid w:val="6C197CDD"/>
    <w:rsid w:val="6C5A6DDE"/>
    <w:rsid w:val="6C611252"/>
    <w:rsid w:val="6CCC1A8E"/>
    <w:rsid w:val="6E1E50A4"/>
    <w:rsid w:val="6E94457B"/>
    <w:rsid w:val="6F050334"/>
    <w:rsid w:val="6FC96844"/>
    <w:rsid w:val="6FCE2720"/>
    <w:rsid w:val="705B684C"/>
    <w:rsid w:val="709D1797"/>
    <w:rsid w:val="714F5518"/>
    <w:rsid w:val="71A607AA"/>
    <w:rsid w:val="71AB46C8"/>
    <w:rsid w:val="73767BD1"/>
    <w:rsid w:val="74CC0B4E"/>
    <w:rsid w:val="74D35F13"/>
    <w:rsid w:val="755C76C8"/>
    <w:rsid w:val="75E43E25"/>
    <w:rsid w:val="76382CBE"/>
    <w:rsid w:val="76B47A3E"/>
    <w:rsid w:val="77A91566"/>
    <w:rsid w:val="77E167B8"/>
    <w:rsid w:val="78591F3E"/>
    <w:rsid w:val="78CA1EAE"/>
    <w:rsid w:val="792409A3"/>
    <w:rsid w:val="7A0A6068"/>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17</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2021-11-08T02:51:00Z</cp:lastPrinted>
  <dcterms:modified xsi:type="dcterms:W3CDTF">2021-11-08T07:43:37Z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